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CC3F">
      <w:pPr>
        <w:jc w:val="left"/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附件1：</w:t>
      </w:r>
    </w:p>
    <w:p w14:paraId="4B314A67">
      <w:pPr>
        <w:jc w:val="center"/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val="en-US" w:eastAsia="zh-CN"/>
        </w:rPr>
        <w:t>博士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研究生国家奖学金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  <w:lang w:val="en-US" w:eastAsia="zh-CN"/>
        </w:rPr>
        <w:t>评审办法</w:t>
      </w:r>
    </w:p>
    <w:p w14:paraId="3D003021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1、科研成果评分</w:t>
      </w:r>
    </w:p>
    <w:p w14:paraId="4B432C3E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（1）学术论文、发明专利和软件著作权</w:t>
      </w:r>
    </w:p>
    <w:p w14:paraId="6B052096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学术论文、发明专利和软件著作权认定分数如下表所示：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 w14:paraId="011E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 w14:paraId="3EC0011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 w14:paraId="66F5DCA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认定情况</w:t>
            </w:r>
          </w:p>
        </w:tc>
      </w:tr>
      <w:tr w14:paraId="7526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 w14:paraId="03D215A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SCI/SCIE期刊论文</w:t>
            </w:r>
          </w:p>
        </w:tc>
        <w:tc>
          <w:tcPr>
            <w:tcW w:w="1662" w:type="dxa"/>
            <w:vAlign w:val="center"/>
          </w:tcPr>
          <w:p w14:paraId="2D94500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分区</w:t>
            </w:r>
          </w:p>
        </w:tc>
        <w:tc>
          <w:tcPr>
            <w:tcW w:w="1754" w:type="dxa"/>
            <w:vAlign w:val="center"/>
          </w:tcPr>
          <w:p w14:paraId="2DCEE4A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认定分数</w:t>
            </w:r>
          </w:p>
        </w:tc>
      </w:tr>
      <w:tr w14:paraId="78B1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 w14:paraId="6F66961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4D988AC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顶级期刊</w:t>
            </w:r>
          </w:p>
        </w:tc>
        <w:tc>
          <w:tcPr>
            <w:tcW w:w="1754" w:type="dxa"/>
            <w:vAlign w:val="center"/>
          </w:tcPr>
          <w:p w14:paraId="7011DF5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color w:val="auto"/>
                <w:sz w:val="28"/>
                <w:szCs w:val="28"/>
                <w:highlight w:val="none"/>
              </w:rPr>
              <w:t>00/300</w:t>
            </w:r>
          </w:p>
        </w:tc>
      </w:tr>
      <w:tr w14:paraId="401B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 w14:paraId="3F6B9CE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1E7015A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54" w:type="dxa"/>
            <w:vAlign w:val="center"/>
          </w:tcPr>
          <w:p w14:paraId="4CFA79A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  <w:tr w14:paraId="172C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 w14:paraId="6971CCE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4DCF393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54" w:type="dxa"/>
            <w:vAlign w:val="center"/>
          </w:tcPr>
          <w:p w14:paraId="21D22D9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65</w:t>
            </w:r>
          </w:p>
        </w:tc>
      </w:tr>
      <w:tr w14:paraId="0BD0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 w14:paraId="11BF6E1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77EF8CD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754" w:type="dxa"/>
            <w:vAlign w:val="center"/>
          </w:tcPr>
          <w:p w14:paraId="3BFA490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6DF0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 w14:paraId="55B4604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03DE36D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754" w:type="dxa"/>
            <w:vAlign w:val="center"/>
          </w:tcPr>
          <w:p w14:paraId="7EE9E48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25</w:t>
            </w:r>
          </w:p>
        </w:tc>
      </w:tr>
      <w:tr w14:paraId="7475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3AC756C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EI或T</w:t>
            </w:r>
            <w:r>
              <w:rPr>
                <w:color w:val="auto"/>
                <w:sz w:val="28"/>
                <w:szCs w:val="28"/>
                <w:highlight w:val="none"/>
              </w:rPr>
              <w:t>1/T2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 w14:paraId="0C5A04C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15</w:t>
            </w:r>
          </w:p>
        </w:tc>
      </w:tr>
      <w:tr w14:paraId="2A47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5B5DB72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 w14:paraId="35481B2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5214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0DC1EB7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公开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发明专利</w:t>
            </w:r>
          </w:p>
        </w:tc>
        <w:tc>
          <w:tcPr>
            <w:tcW w:w="3416" w:type="dxa"/>
            <w:gridSpan w:val="2"/>
            <w:vAlign w:val="center"/>
          </w:tcPr>
          <w:p w14:paraId="63731C6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 w14:paraId="092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 w14:paraId="7C84E41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 w14:paraId="113068A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color w:val="auto"/>
                <w:sz w:val="28"/>
                <w:szCs w:val="28"/>
                <w:highlight w:val="none"/>
              </w:rPr>
              <w:t>5</w:t>
            </w:r>
          </w:p>
        </w:tc>
      </w:tr>
    </w:tbl>
    <w:p w14:paraId="13BFFEAC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同时，对于期刊论文、发明专利和软件著作权的认定作以下补充说明：</w:t>
      </w:r>
    </w:p>
    <w:p w14:paraId="4799CF65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a</w:t>
      </w:r>
      <w:r>
        <w:rPr>
          <w:rFonts w:hint="eastAsia"/>
          <w:color w:val="auto"/>
          <w:sz w:val="28"/>
          <w:szCs w:val="28"/>
          <w:highlight w:val="none"/>
        </w:rPr>
        <w:t>．SCI学术论文参照我校科研院对论文分区的评价方法，SCI/SCIE分区表以中科院公布的</w:t>
      </w:r>
      <w:r>
        <w:rPr>
          <w:rFonts w:hint="eastAsia"/>
          <w:color w:val="auto"/>
          <w:sz w:val="28"/>
          <w:szCs w:val="28"/>
          <w:highlight w:val="none"/>
        </w:rPr>
        <w:t>《202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>年中国科学院文献情报中心期刊分区表》</w:t>
      </w:r>
      <w:r>
        <w:rPr>
          <w:rFonts w:hint="eastAsia"/>
          <w:color w:val="auto"/>
          <w:sz w:val="28"/>
          <w:szCs w:val="28"/>
          <w:highlight w:val="none"/>
        </w:rPr>
        <w:t>查询结果为准，并以期刊</w:t>
      </w:r>
      <w:r>
        <w:rPr>
          <w:color w:val="auto"/>
          <w:sz w:val="28"/>
          <w:szCs w:val="28"/>
          <w:highlight w:val="none"/>
        </w:rPr>
        <w:t>对应的</w:t>
      </w:r>
      <w:r>
        <w:rPr>
          <w:rFonts w:hint="eastAsia"/>
          <w:color w:val="auto"/>
          <w:sz w:val="28"/>
          <w:szCs w:val="28"/>
          <w:highlight w:val="none"/>
        </w:rPr>
        <w:t>“大类</w:t>
      </w:r>
      <w:r>
        <w:rPr>
          <w:color w:val="auto"/>
          <w:sz w:val="28"/>
          <w:szCs w:val="28"/>
          <w:highlight w:val="none"/>
        </w:rPr>
        <w:t>分区</w:t>
      </w:r>
      <w:r>
        <w:rPr>
          <w:rFonts w:hint="eastAsia"/>
          <w:color w:val="auto"/>
          <w:sz w:val="28"/>
          <w:szCs w:val="28"/>
          <w:highlight w:val="none"/>
        </w:rPr>
        <w:t>”查询结果为准。如SCI期刊暂无分区信息，则以4区期刊认定分数计分。</w:t>
      </w:r>
    </w:p>
    <w:p w14:paraId="72B63765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b</w:t>
      </w:r>
      <w:r>
        <w:rPr>
          <w:rFonts w:hint="eastAsia"/>
          <w:color w:val="auto"/>
          <w:sz w:val="28"/>
          <w:szCs w:val="28"/>
          <w:highlight w:val="none"/>
        </w:rPr>
        <w:t>．EI、T</w:t>
      </w:r>
      <w:r>
        <w:rPr>
          <w:color w:val="auto"/>
          <w:sz w:val="28"/>
          <w:szCs w:val="28"/>
          <w:highlight w:val="none"/>
        </w:rPr>
        <w:t>1/T2</w:t>
      </w:r>
      <w:r>
        <w:rPr>
          <w:rFonts w:hint="eastAsia"/>
          <w:color w:val="auto"/>
          <w:sz w:val="28"/>
          <w:szCs w:val="28"/>
          <w:highlight w:val="none"/>
        </w:rPr>
        <w:t>学术期刊论文不区分中、英文期刊。</w:t>
      </w:r>
    </w:p>
    <w:p w14:paraId="5378187F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c</w:t>
      </w:r>
      <w:r>
        <w:rPr>
          <w:rFonts w:hint="eastAsia"/>
          <w:color w:val="auto"/>
          <w:sz w:val="28"/>
          <w:szCs w:val="28"/>
          <w:highlight w:val="none"/>
        </w:rPr>
        <w:t>．单篇论文同为SCI、EI的，不重复统计，以最高分数为准。</w:t>
      </w:r>
    </w:p>
    <w:p w14:paraId="4150B540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d</w:t>
      </w:r>
      <w:r>
        <w:rPr>
          <w:rFonts w:hint="eastAsia"/>
          <w:color w:val="auto"/>
          <w:sz w:val="28"/>
          <w:szCs w:val="28"/>
          <w:highlight w:val="none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color w:val="auto"/>
          <w:sz w:val="28"/>
          <w:szCs w:val="28"/>
          <w:highlight w:val="none"/>
        </w:rPr>
        <w:t>6</w:t>
      </w:r>
      <w:r>
        <w:rPr>
          <w:rFonts w:hint="eastAsia"/>
          <w:color w:val="auto"/>
          <w:sz w:val="28"/>
          <w:szCs w:val="28"/>
          <w:highlight w:val="none"/>
        </w:rPr>
        <w:t>，且仅限认定1篇。若共同第一作者的，按照第一作者人数均分分数，博士生仅限认定</w:t>
      </w:r>
      <w:r>
        <w:rPr>
          <w:color w:val="auto"/>
          <w:sz w:val="28"/>
          <w:szCs w:val="28"/>
          <w:highlight w:val="none"/>
        </w:rPr>
        <w:t>2</w:t>
      </w:r>
      <w:r>
        <w:rPr>
          <w:rFonts w:hint="eastAsia"/>
          <w:color w:val="auto"/>
          <w:sz w:val="28"/>
          <w:szCs w:val="28"/>
          <w:highlight w:val="none"/>
        </w:rPr>
        <w:t>篇。</w:t>
      </w:r>
    </w:p>
    <w:p w14:paraId="50462E6B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e</w:t>
      </w:r>
      <w:r>
        <w:rPr>
          <w:rFonts w:hint="eastAsia"/>
          <w:color w:val="auto"/>
          <w:sz w:val="28"/>
          <w:szCs w:val="28"/>
          <w:highlight w:val="none"/>
        </w:rPr>
        <w:t>．顶级期刊论文的认定以自然指数期刊论文为主，原则上Science、Nature子刊级论文计3</w:t>
      </w:r>
      <w:r>
        <w:rPr>
          <w:color w:val="auto"/>
          <w:sz w:val="28"/>
          <w:szCs w:val="28"/>
          <w:highlight w:val="none"/>
        </w:rPr>
        <w:t>00</w:t>
      </w:r>
      <w:r>
        <w:rPr>
          <w:rFonts w:hint="eastAsia"/>
          <w:color w:val="auto"/>
          <w:sz w:val="28"/>
          <w:szCs w:val="28"/>
          <w:highlight w:val="none"/>
        </w:rPr>
        <w:t>分，其他自然指数期刊论文为2</w:t>
      </w:r>
      <w:r>
        <w:rPr>
          <w:color w:val="auto"/>
          <w:sz w:val="28"/>
          <w:szCs w:val="28"/>
          <w:highlight w:val="none"/>
        </w:rPr>
        <w:t>00</w:t>
      </w:r>
      <w:r>
        <w:rPr>
          <w:rFonts w:hint="eastAsia"/>
          <w:color w:val="auto"/>
          <w:sz w:val="28"/>
          <w:szCs w:val="28"/>
          <w:highlight w:val="none"/>
        </w:rPr>
        <w:t>分（其中</w:t>
      </w:r>
      <w:r>
        <w:rPr>
          <w:color w:val="auto"/>
          <w:sz w:val="28"/>
          <w:szCs w:val="28"/>
          <w:highlight w:val="none"/>
        </w:rPr>
        <w:t>Applied Physics Letters</w:t>
      </w:r>
      <w:r>
        <w:rPr>
          <w:rFonts w:hint="eastAsia"/>
          <w:color w:val="auto"/>
          <w:sz w:val="28"/>
          <w:szCs w:val="28"/>
          <w:highlight w:val="none"/>
        </w:rPr>
        <w:t>、</w:t>
      </w:r>
      <w:r>
        <w:rPr>
          <w:color w:val="auto"/>
          <w:sz w:val="28"/>
          <w:szCs w:val="28"/>
          <w:highlight w:val="none"/>
        </w:rPr>
        <w:t>Chemical Communications</w:t>
      </w:r>
      <w:r>
        <w:rPr>
          <w:rFonts w:hint="eastAsia"/>
          <w:color w:val="auto"/>
          <w:sz w:val="28"/>
          <w:szCs w:val="28"/>
          <w:highlight w:val="none"/>
        </w:rPr>
        <w:t>两本期刊按照分区表的实际分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 w14:paraId="2F6F945E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f．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发明专利、软件著作权只统计申请人个人排名前三名的发明专利和软件著作权，第一完成单位应为南京航空航天大学，且申报人为学生发明人中排名第一。</w:t>
      </w:r>
    </w:p>
    <w:p w14:paraId="669B974A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g. </w:t>
      </w:r>
      <w:r>
        <w:rPr>
          <w:rFonts w:hint="eastAsia"/>
          <w:color w:val="auto"/>
          <w:sz w:val="28"/>
          <w:szCs w:val="28"/>
          <w:highlight w:val="none"/>
        </w:rPr>
        <w:t>为鼓励研究生学术成果产出“求质不求量”，实行“学术成果代表作”制度。博士生申报学术期刊论文最多3篇；发明专利（含授权和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公开</w:t>
      </w:r>
      <w:r>
        <w:rPr>
          <w:rFonts w:hint="eastAsia"/>
          <w:color w:val="auto"/>
          <w:sz w:val="28"/>
          <w:szCs w:val="28"/>
          <w:highlight w:val="none"/>
        </w:rPr>
        <w:t>）最多3项；软件著作权最多1项。</w:t>
      </w:r>
    </w:p>
    <w:p w14:paraId="7A07D41C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（2）竞赛获奖情况</w:t>
      </w:r>
    </w:p>
    <w:p w14:paraId="19613B66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以南京航空航天大学为第一单位名义参加“中国研究生创新实践系列竞赛”、中国国际大学生创新大赛（原“互联网+”大赛）、“挑战杯”中国大学生创业计划竞赛、“挑战杯”课外学术科技作品竞赛，根据奖项和排名情况认定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 w14:paraId="158E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 w14:paraId="42306A0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竞赛级别</w:t>
            </w:r>
          </w:p>
        </w:tc>
        <w:tc>
          <w:tcPr>
            <w:tcW w:w="1701" w:type="dxa"/>
          </w:tcPr>
          <w:p w14:paraId="566094A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获奖层次</w:t>
            </w:r>
          </w:p>
        </w:tc>
        <w:tc>
          <w:tcPr>
            <w:tcW w:w="1842" w:type="dxa"/>
          </w:tcPr>
          <w:p w14:paraId="52341CD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排名情况</w:t>
            </w:r>
          </w:p>
        </w:tc>
        <w:tc>
          <w:tcPr>
            <w:tcW w:w="1985" w:type="dxa"/>
          </w:tcPr>
          <w:p w14:paraId="3443513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认定分数</w:t>
            </w:r>
          </w:p>
        </w:tc>
      </w:tr>
      <w:tr w14:paraId="7F47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299A27C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 w14:paraId="19F5057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67DE751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5C3F30F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学校指标单列</w:t>
            </w:r>
          </w:p>
        </w:tc>
      </w:tr>
      <w:tr w14:paraId="0132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94E897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4FD9BB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204C69F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2E8A0D6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  <w:tr w14:paraId="02A0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EE655A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70C5D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2632E0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21E8FF8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80</w:t>
            </w:r>
          </w:p>
        </w:tc>
      </w:tr>
      <w:tr w14:paraId="1766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022F2A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7C4212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0A37B06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985" w:type="dxa"/>
            <w:vAlign w:val="center"/>
          </w:tcPr>
          <w:p w14:paraId="157728D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2F86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61B7A5A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5A4D7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6C5B5DC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0829329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90</w:t>
            </w:r>
          </w:p>
        </w:tc>
      </w:tr>
      <w:tr w14:paraId="7220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63FD2F8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3154B1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2EEDDF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00C71FF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70</w:t>
            </w:r>
          </w:p>
        </w:tc>
      </w:tr>
      <w:tr w14:paraId="6AF0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73A3ABE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907B73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80D305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5D03841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2895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0D0B3E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930BE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013D368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2460973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70</w:t>
            </w:r>
          </w:p>
        </w:tc>
      </w:tr>
      <w:tr w14:paraId="57AA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0C97F96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D48304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157046E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0F5C014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3238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4C7FFF9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7C0E2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6337DC0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710043DE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1476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 w14:paraId="3CC359C7">
            <w:pPr>
              <w:rPr>
                <w:color w:val="auto"/>
                <w:highlight w:val="none"/>
              </w:rPr>
            </w:pPr>
          </w:p>
          <w:p w14:paraId="2D5805DB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 w14:paraId="24E55EE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第一层次</w:t>
            </w:r>
          </w:p>
        </w:tc>
        <w:tc>
          <w:tcPr>
            <w:tcW w:w="1842" w:type="dxa"/>
            <w:vAlign w:val="center"/>
          </w:tcPr>
          <w:p w14:paraId="0E7599A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50958E0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50</w:t>
            </w:r>
          </w:p>
        </w:tc>
      </w:tr>
      <w:tr w14:paraId="5DD0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30F0709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31C0E4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65D515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3506B81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0B21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EA1EF2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561264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B05591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57379A2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4898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2F7256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62FE8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第二层次</w:t>
            </w:r>
          </w:p>
        </w:tc>
        <w:tc>
          <w:tcPr>
            <w:tcW w:w="1842" w:type="dxa"/>
            <w:vAlign w:val="center"/>
          </w:tcPr>
          <w:p w14:paraId="36CAF1D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22AC572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23E6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25C3BFA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19B441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1C8F7CC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47B272A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7368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4D7CC8E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34F84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5626716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1BD91E3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20</w:t>
            </w:r>
          </w:p>
        </w:tc>
      </w:tr>
      <w:tr w14:paraId="4516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7A89A7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3B234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第三层次</w:t>
            </w:r>
          </w:p>
        </w:tc>
        <w:tc>
          <w:tcPr>
            <w:tcW w:w="1842" w:type="dxa"/>
            <w:vAlign w:val="center"/>
          </w:tcPr>
          <w:p w14:paraId="09C5E07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vAlign w:val="center"/>
          </w:tcPr>
          <w:p w14:paraId="074033F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18C3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 w14:paraId="1C3633B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66A861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1FA5EF7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85" w:type="dxa"/>
            <w:vAlign w:val="center"/>
          </w:tcPr>
          <w:p w14:paraId="3BDFEE3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0</w:t>
            </w:r>
          </w:p>
        </w:tc>
      </w:tr>
      <w:tr w14:paraId="42DB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9E1DCBB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8DDB5E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2" w:type="dxa"/>
            <w:vAlign w:val="center"/>
          </w:tcPr>
          <w:p w14:paraId="3C97E25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985" w:type="dxa"/>
            <w:vAlign w:val="center"/>
          </w:tcPr>
          <w:p w14:paraId="29D3F143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</w:tbl>
    <w:p w14:paraId="76AEAD99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博士生申报竞赛获奖最多3项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/>
          <w:color w:val="auto"/>
          <w:sz w:val="28"/>
          <w:szCs w:val="28"/>
          <w:highlight w:val="none"/>
        </w:rPr>
        <w:t>同一比赛的不同层次奖项不重复统计，以最高分数为准。</w:t>
      </w:r>
    </w:p>
    <w:p w14:paraId="2646B2A1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 w14:paraId="013FA1A2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（3）成果获奖</w:t>
      </w:r>
      <w:bookmarkStart w:id="0" w:name="_GoBack"/>
      <w:bookmarkEnd w:id="0"/>
      <w:r>
        <w:rPr>
          <w:rFonts w:hint="eastAsia"/>
          <w:color w:val="auto"/>
          <w:sz w:val="28"/>
          <w:szCs w:val="28"/>
          <w:highlight w:val="none"/>
        </w:rPr>
        <w:t>情况</w:t>
      </w:r>
    </w:p>
    <w:p w14:paraId="012880D9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 w14:paraId="3471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 w14:paraId="09E3B2C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获奖层次</w:t>
            </w:r>
          </w:p>
        </w:tc>
        <w:tc>
          <w:tcPr>
            <w:tcW w:w="2322" w:type="dxa"/>
          </w:tcPr>
          <w:p w14:paraId="7F4DD57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学生中排名情况</w:t>
            </w:r>
          </w:p>
        </w:tc>
        <w:tc>
          <w:tcPr>
            <w:tcW w:w="2322" w:type="dxa"/>
          </w:tcPr>
          <w:p w14:paraId="68021F2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认定分数</w:t>
            </w:r>
          </w:p>
        </w:tc>
      </w:tr>
      <w:tr w14:paraId="7A20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 w14:paraId="0AE3BAB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第一层次</w:t>
            </w:r>
          </w:p>
          <w:p w14:paraId="5D7E5EA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（排名前十）</w:t>
            </w:r>
          </w:p>
        </w:tc>
        <w:tc>
          <w:tcPr>
            <w:tcW w:w="2322" w:type="dxa"/>
            <w:vAlign w:val="center"/>
          </w:tcPr>
          <w:p w14:paraId="5401657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22" w:type="dxa"/>
            <w:vAlign w:val="center"/>
          </w:tcPr>
          <w:p w14:paraId="549F30D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  <w:tr w14:paraId="37EE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54D5A865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23AA00F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22" w:type="dxa"/>
            <w:vAlign w:val="center"/>
          </w:tcPr>
          <w:p w14:paraId="4BF2AD4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80</w:t>
            </w:r>
          </w:p>
        </w:tc>
      </w:tr>
      <w:tr w14:paraId="71DF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59D28886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7CCC580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22" w:type="dxa"/>
            <w:vAlign w:val="center"/>
          </w:tcPr>
          <w:p w14:paraId="46597B6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2984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 w14:paraId="375DD7F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第二层次</w:t>
            </w:r>
          </w:p>
          <w:p w14:paraId="26341B98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（排名前八）</w:t>
            </w:r>
          </w:p>
        </w:tc>
        <w:tc>
          <w:tcPr>
            <w:tcW w:w="2322" w:type="dxa"/>
            <w:vAlign w:val="center"/>
          </w:tcPr>
          <w:p w14:paraId="3813546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22" w:type="dxa"/>
            <w:vAlign w:val="center"/>
          </w:tcPr>
          <w:p w14:paraId="589A10D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80</w:t>
            </w:r>
          </w:p>
        </w:tc>
      </w:tr>
      <w:tr w14:paraId="33AC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6D778912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1DD264C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22" w:type="dxa"/>
            <w:vAlign w:val="center"/>
          </w:tcPr>
          <w:p w14:paraId="2B71469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21AB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0C9192CC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47B94ADD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22" w:type="dxa"/>
            <w:vAlign w:val="center"/>
          </w:tcPr>
          <w:p w14:paraId="2A79E75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43D7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 w14:paraId="53D33CC1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第三层次</w:t>
            </w:r>
          </w:p>
          <w:p w14:paraId="69CEA1E9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（排名前六）</w:t>
            </w:r>
          </w:p>
        </w:tc>
        <w:tc>
          <w:tcPr>
            <w:tcW w:w="2322" w:type="dxa"/>
            <w:vAlign w:val="center"/>
          </w:tcPr>
          <w:p w14:paraId="372653C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22" w:type="dxa"/>
            <w:vAlign w:val="center"/>
          </w:tcPr>
          <w:p w14:paraId="5468642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60</w:t>
            </w:r>
          </w:p>
        </w:tc>
      </w:tr>
      <w:tr w14:paraId="48F7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3B05D47F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69B5EEF7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322" w:type="dxa"/>
            <w:vAlign w:val="center"/>
          </w:tcPr>
          <w:p w14:paraId="039D69F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40</w:t>
            </w:r>
          </w:p>
        </w:tc>
      </w:tr>
      <w:tr w14:paraId="2E0D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 w14:paraId="5339A1D0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22" w:type="dxa"/>
            <w:vAlign w:val="center"/>
          </w:tcPr>
          <w:p w14:paraId="65019A14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322" w:type="dxa"/>
            <w:vAlign w:val="center"/>
          </w:tcPr>
          <w:p w14:paraId="0980D23A">
            <w:pPr>
              <w:spacing w:line="324" w:lineRule="auto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20</w:t>
            </w:r>
          </w:p>
        </w:tc>
      </w:tr>
    </w:tbl>
    <w:p w14:paraId="5E2D3FAF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（4）学术著作 </w:t>
      </w:r>
    </w:p>
    <w:p w14:paraId="08F10E65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学术专著只统计申请人专著封面作者署名前三位的著作，第一作者以每部</w:t>
      </w:r>
      <w:r>
        <w:rPr>
          <w:color w:val="auto"/>
          <w:sz w:val="28"/>
          <w:szCs w:val="28"/>
          <w:highlight w:val="none"/>
        </w:rPr>
        <w:t>100</w:t>
      </w:r>
      <w:r>
        <w:rPr>
          <w:rFonts w:hint="eastAsia"/>
          <w:color w:val="auto"/>
          <w:sz w:val="28"/>
          <w:szCs w:val="28"/>
          <w:highlight w:val="none"/>
        </w:rPr>
        <w:t>分计，第二作者以每部</w:t>
      </w:r>
      <w:r>
        <w:rPr>
          <w:color w:val="auto"/>
          <w:sz w:val="28"/>
          <w:szCs w:val="28"/>
          <w:highlight w:val="none"/>
        </w:rPr>
        <w:t>80</w:t>
      </w:r>
      <w:r>
        <w:rPr>
          <w:rFonts w:hint="eastAsia"/>
          <w:color w:val="auto"/>
          <w:sz w:val="28"/>
          <w:szCs w:val="28"/>
          <w:highlight w:val="none"/>
        </w:rPr>
        <w:t>分计，第三作者以每部</w:t>
      </w:r>
      <w:r>
        <w:rPr>
          <w:color w:val="auto"/>
          <w:sz w:val="28"/>
          <w:szCs w:val="28"/>
          <w:highlight w:val="none"/>
        </w:rPr>
        <w:t>50</w:t>
      </w:r>
      <w:r>
        <w:rPr>
          <w:rFonts w:hint="eastAsia"/>
          <w:color w:val="auto"/>
          <w:sz w:val="28"/>
          <w:szCs w:val="28"/>
          <w:highlight w:val="none"/>
        </w:rPr>
        <w:t>分计。</w:t>
      </w:r>
    </w:p>
    <w:p w14:paraId="22C1E8CC">
      <w:pPr>
        <w:spacing w:line="324" w:lineRule="auto"/>
        <w:ind w:firstLine="700" w:firstLineChars="25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（5）科研项目</w:t>
      </w:r>
    </w:p>
    <w:p w14:paraId="040CA51E">
      <w:pPr>
        <w:spacing w:line="324" w:lineRule="auto"/>
        <w:ind w:firstLine="560" w:firstLineChars="2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学生作为主持人申报成功的省级研究生科研项目，以每项</w:t>
      </w:r>
      <w:r>
        <w:rPr>
          <w:color w:val="auto"/>
          <w:sz w:val="28"/>
          <w:szCs w:val="28"/>
          <w:highlight w:val="none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>0分计；申报成功的校级研究生科研项目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创新实验竞赛培育项目不计算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/>
          <w:color w:val="auto"/>
          <w:sz w:val="28"/>
          <w:szCs w:val="28"/>
          <w:highlight w:val="none"/>
        </w:rPr>
        <w:t>，以每项</w:t>
      </w:r>
      <w:r>
        <w:rPr>
          <w:color w:val="auto"/>
          <w:sz w:val="28"/>
          <w:szCs w:val="28"/>
          <w:highlight w:val="none"/>
        </w:rPr>
        <w:t>30</w:t>
      </w:r>
      <w:r>
        <w:rPr>
          <w:rFonts w:hint="eastAsia"/>
          <w:color w:val="auto"/>
          <w:sz w:val="28"/>
          <w:szCs w:val="28"/>
          <w:highlight w:val="none"/>
        </w:rPr>
        <w:t>分计。博士生申报的研究生科研项目最多</w:t>
      </w:r>
      <w:r>
        <w:rPr>
          <w:color w:val="auto"/>
          <w:sz w:val="28"/>
          <w:szCs w:val="28"/>
          <w:highlight w:val="none"/>
        </w:rPr>
        <w:t>3</w:t>
      </w:r>
      <w:r>
        <w:rPr>
          <w:rFonts w:hint="eastAsia"/>
          <w:color w:val="auto"/>
          <w:sz w:val="28"/>
          <w:szCs w:val="28"/>
          <w:highlight w:val="none"/>
        </w:rPr>
        <w:t>项。</w:t>
      </w:r>
    </w:p>
    <w:p w14:paraId="3826363C">
      <w:pPr>
        <w:tabs>
          <w:tab w:val="left" w:pos="5798"/>
        </w:tabs>
        <w:spacing w:line="324" w:lineRule="auto"/>
        <w:ind w:firstLine="560" w:firstLineChars="200"/>
        <w:rPr>
          <w:rFonts w:hint="default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2、博士国家奖学金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获奖人员确定</w:t>
      </w:r>
    </w:p>
    <w:p w14:paraId="0437D4F3">
      <w:pPr>
        <w:spacing w:line="324" w:lineRule="auto"/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学院组织评审和答辩，根据申报人个人科研成果评分由高到低排序，按照1:1</w:t>
      </w:r>
      <w:r>
        <w:rPr>
          <w:b w:val="0"/>
          <w:bCs w:val="0"/>
          <w:color w:val="auto"/>
          <w:sz w:val="28"/>
          <w:szCs w:val="28"/>
          <w:highlight w:val="none"/>
        </w:rPr>
        <w:t>.5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的比例安排一定人数国奖申报人进入现场答辩环节。</w:t>
      </w:r>
    </w:p>
    <w:p w14:paraId="16000FA5">
      <w:pPr>
        <w:spacing w:line="324" w:lineRule="auto"/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博士答辩满分为400分，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去掉1个最高分和1个最低分后取均值。每位参评人主要就学术论文内容的先进性和创新性进行汇报，并结合个人科研成绩、参与研究生科技竞赛、参加学术会议获奖、开展研究生社会实践、担任研究生骨干等方面进行陈述，以PPT形式</w:t>
      </w:r>
      <w:r>
        <w:rPr>
          <w:b w:val="0"/>
          <w:bCs w:val="0"/>
          <w:color w:val="auto"/>
          <w:sz w:val="28"/>
          <w:szCs w:val="28"/>
          <w:highlight w:val="none"/>
        </w:rPr>
        <w:t>进行汇报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，评委可进行提问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全部汇报PPT在答辩之后将公开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78DF656A">
      <w:pPr>
        <w:spacing w:line="324" w:lineRule="auto"/>
        <w:ind w:firstLine="560" w:firstLineChars="200"/>
        <w:rPr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综合“个人科研成果评分”与“学院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答辩评审得分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”汇总加和总分后，确定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博士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>国家奖学金获得者。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1EAC"/>
    <w:rsid w:val="04386B54"/>
    <w:rsid w:val="05E20922"/>
    <w:rsid w:val="149143AA"/>
    <w:rsid w:val="22A17A0A"/>
    <w:rsid w:val="59A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1674</Words>
  <Characters>1824</Characters>
  <Lines>0</Lines>
  <Paragraphs>0</Paragraphs>
  <TotalTime>4</TotalTime>
  <ScaleCrop>false</ScaleCrop>
  <LinksUpToDate>false</LinksUpToDate>
  <CharactersWithSpaces>1830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2025-09-28T13:43:00Z</dcterms:created>
  <dc:creator>Vicky.</dc:creator>
  <cp:lastModifiedBy>Vicky.</cp:lastModifiedBy>
  <dcterms:modified xsi:type="dcterms:W3CDTF">2025-09-29T15:01:12Z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4194DC56A79F4ED7BE1F4A5747C4D23B_11</vt:lpwstr>
  </property>
  <property fmtid="{D5CDD505-2E9C-101B-9397-08002B2CF9AE}" pid="4" name="KSOTemplateDocerSaveRecord">
    <vt:lpwstr>eyJoZGlkIjoiYWJmNTAxYTA0NTllZTU0OWY5NWY0MWNlMzBjNGU2OTYiLCJ1c2VySWQiOiIyMDc4OTIwNTQifQ==</vt:lpwstr>
  </property>
</Properties>
</file>